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3C35CA4D" w14:textId="36E33186" w:rsidR="00501552" w:rsidRDefault="00191B07" w:rsidP="00501552">
      <w:pPr>
        <w:jc w:val="center"/>
        <w:rPr>
          <w:b/>
          <w:bCs/>
        </w:rPr>
      </w:pPr>
      <w:r>
        <w:rPr>
          <w:b/>
          <w:bCs/>
        </w:rPr>
        <w:t>Evidence-Based Care Plan</w:t>
      </w:r>
    </w:p>
    <w:p w14:paraId="71A17E5C" w14:textId="0B3190CC" w:rsidR="003B73B0" w:rsidRPr="003B73B0" w:rsidRDefault="00191B07" w:rsidP="003B73B0">
      <w:pPr>
        <w:jc w:val="center"/>
      </w:pPr>
      <w:r>
        <w:t xml:space="preserve">Name </w:t>
      </w:r>
    </w:p>
    <w:p w14:paraId="6DB7201A" w14:textId="225EF847" w:rsidR="003B73B0" w:rsidRPr="003B73B0" w:rsidRDefault="00191B07" w:rsidP="003B73B0">
      <w:pPr>
        <w:jc w:val="center"/>
      </w:pPr>
      <w:r>
        <w:t>Institutional Affiliation</w:t>
      </w:r>
    </w:p>
    <w:p w14:paraId="466DCF8E" w14:textId="482E993A" w:rsidR="003B73B0" w:rsidRPr="003B73B0" w:rsidRDefault="00191B07" w:rsidP="003B73B0">
      <w:pPr>
        <w:jc w:val="center"/>
      </w:pPr>
      <w:r w:rsidRPr="003B73B0">
        <w:t>Instructor</w:t>
      </w:r>
    </w:p>
    <w:p w14:paraId="6388DC10" w14:textId="61B2B5BF" w:rsidR="003B73B0" w:rsidRPr="003B73B0" w:rsidRDefault="00191B07"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15967B50" w14:textId="63CD911B" w:rsidR="005E7111" w:rsidRPr="003578B6" w:rsidRDefault="00191B07" w:rsidP="003578B6">
      <w:pPr>
        <w:jc w:val="center"/>
        <w:rPr>
          <w:b/>
          <w:bCs/>
        </w:rPr>
      </w:pPr>
      <w:r>
        <w:rPr>
          <w:b/>
          <w:bCs/>
        </w:rPr>
        <w:t>Evidence-Based Care Plan</w:t>
      </w:r>
    </w:p>
    <w:p w14:paraId="723BC533" w14:textId="71FC3368" w:rsidR="002D1009" w:rsidRDefault="00191B07" w:rsidP="00460FA8">
      <w:pPr>
        <w:ind w:firstLine="0"/>
        <w:rPr>
          <w:bCs/>
        </w:rPr>
      </w:pPr>
      <w:r>
        <w:rPr>
          <w:bCs/>
        </w:rPr>
        <w:t xml:space="preserve">         </w:t>
      </w:r>
      <w:r w:rsidR="00D33560">
        <w:rPr>
          <w:bCs/>
        </w:rPr>
        <w:t>Hallo. My name is Act two. This recording will focus on a proposed Evidence-Based Care Plan (EBP</w:t>
      </w:r>
      <w:r w:rsidR="00924FD3">
        <w:rPr>
          <w:bCs/>
        </w:rPr>
        <w:t>) that</w:t>
      </w:r>
      <w:r w:rsidR="00460FA8">
        <w:rPr>
          <w:bCs/>
        </w:rPr>
        <w:t xml:space="preserve"> will improve the safety and outcomes in the Vila Health Remote Collaboration. In a bid to improve service delivery quality, caring for individuals in remote </w:t>
      </w:r>
      <w:r w:rsidR="00924FD3">
        <w:rPr>
          <w:bCs/>
        </w:rPr>
        <w:t>areas of the country is a challenging proposition. As a result, policymakers and healthcare organizations and healthcare professionals are searching for resources, such as telehealth services, to promote health and wellness and independent self-care for patients</w:t>
      </w:r>
      <w:r w:rsidR="00BA31DF">
        <w:rPr>
          <w:bCs/>
        </w:rPr>
        <w:t xml:space="preserve"> </w:t>
      </w:r>
      <w:r w:rsidR="00924FD3">
        <w:rPr>
          <w:bCs/>
        </w:rPr>
        <w:t xml:space="preserve">(Barret, 2017). </w:t>
      </w:r>
      <w:r w:rsidR="00BA31DF">
        <w:rPr>
          <w:bCs/>
        </w:rPr>
        <w:t>Issues such as primary care and specialist's access, availability of ancillary services, and transportation to and from each appointment continue to be hindrances that could affect effective patient outcomes, especially to the elderly and the disabled. This video will propose an EBP model used in the Vila Health Remote collaboration to outline a safe, realistic inpatient treatment outcome.</w:t>
      </w:r>
    </w:p>
    <w:p w14:paraId="734D1EC7" w14:textId="34545C00" w:rsidR="00BA31DF" w:rsidRDefault="00191B07" w:rsidP="00460FA8">
      <w:pPr>
        <w:ind w:firstLine="0"/>
        <w:rPr>
          <w:bCs/>
        </w:rPr>
      </w:pPr>
      <w:r>
        <w:rPr>
          <w:bCs/>
        </w:rPr>
        <w:tab/>
      </w:r>
      <w:r w:rsidR="002265C1">
        <w:rPr>
          <w:bCs/>
        </w:rPr>
        <w:t>In a scenario of an older woman</w:t>
      </w:r>
      <w:r w:rsidR="0010115B">
        <w:rPr>
          <w:bCs/>
        </w:rPr>
        <w:t xml:space="preserve">, let’s call her Mary, </w:t>
      </w:r>
      <w:r w:rsidR="002265C1">
        <w:rPr>
          <w:bCs/>
        </w:rPr>
        <w:t>who presents herself to the Vila Health Collaboration. She is presented with persistent chest pain symptoms and trouble breathing for more than one week. She is admitted and diagnosed with congestive heart failure</w:t>
      </w:r>
      <w:r w:rsidR="0010115B">
        <w:rPr>
          <w:bCs/>
        </w:rPr>
        <w:t xml:space="preserve">. She is discharged with a care plan to improve her safety and wellness outcomes by arranging for home health visits, including physical therapy and nursing care. Mary lives with her daughter Jane who works 18 hours a day and is concerned with her mother's new diagnosis on top of her already existing hypertension. Her mother cannot travel alone, and the nearest rehabilitation center is 50 miles away. Jane affirms that she has a reliable </w:t>
      </w:r>
      <w:r w:rsidR="00282588">
        <w:rPr>
          <w:bCs/>
        </w:rPr>
        <w:t>network, telephone</w:t>
      </w:r>
      <w:r w:rsidR="0010115B">
        <w:rPr>
          <w:bCs/>
        </w:rPr>
        <w:t xml:space="preserve"> landline, and a worki</w:t>
      </w:r>
      <w:r w:rsidR="00282588">
        <w:rPr>
          <w:bCs/>
        </w:rPr>
        <w:t>ng cell phone before the discharge. This prompts a home-based monitored self-care, where Mary goes home with an electronic home blood pressure cuff and a Holter monitor. After a week of wearing the event monitor, data will be uploaded to the central cardiology department for analysis.</w:t>
      </w:r>
    </w:p>
    <w:p w14:paraId="235A386E" w14:textId="1C770B50" w:rsidR="00282588" w:rsidRDefault="00191B07" w:rsidP="00460FA8">
      <w:pPr>
        <w:ind w:firstLine="0"/>
        <w:rPr>
          <w:bCs/>
        </w:rPr>
      </w:pPr>
      <w:r>
        <w:rPr>
          <w:bCs/>
        </w:rPr>
        <w:t xml:space="preserve"> Barret, in his 2017 publication, notes that telehealth and telemedicine have been an evolving evidence-based practice (EBP) since the 1970</w:t>
      </w:r>
      <w:r w:rsidR="00B70089">
        <w:rPr>
          <w:bCs/>
        </w:rPr>
        <w:t>s</w:t>
      </w:r>
      <w:r w:rsidR="004E25A9">
        <w:rPr>
          <w:bCs/>
        </w:rPr>
        <w:t>. Another author, Anne Tussel, in her</w:t>
      </w:r>
      <w:r w:rsidR="00B70089">
        <w:rPr>
          <w:bCs/>
        </w:rPr>
        <w:t xml:space="preserve"> 2012 publication agrees that to fully realize the impact of EBP and clinical decision support on quality outcomes, organizations (remote) must consider using these tools for all participants across the continuum of care</w:t>
      </w:r>
      <w:r w:rsidR="004E25A9">
        <w:rPr>
          <w:bCs/>
        </w:rPr>
        <w:t xml:space="preserve">. Thus, the primary care providers can reach Mary through a phone call or online to discuss any concerns and monitor recovery and wellness progression according to the developed plan of care. Her modalities include home pressure readings, heart monitors, and medication reconciliation. Cardiac monitors provide caregivers with information about the electrical activities of the heart at any given situation. Close follow-up will help monitor her blood pressure and help providers correctly titrate blood pressure medications to maximize cardiac output, which is key </w:t>
      </w:r>
      <w:r w:rsidR="00A16CAE">
        <w:rPr>
          <w:bCs/>
        </w:rPr>
        <w:t>for CHF patients.</w:t>
      </w:r>
    </w:p>
    <w:p w14:paraId="2FC46582" w14:textId="5943212F" w:rsidR="00A16CAE" w:rsidRDefault="00191B07" w:rsidP="00460FA8">
      <w:pPr>
        <w:ind w:firstLine="0"/>
        <w:rPr>
          <w:bCs/>
        </w:rPr>
      </w:pPr>
      <w:r>
        <w:rPr>
          <w:bCs/>
        </w:rPr>
        <w:t xml:space="preserve"> The decision to implement a telehealth program for Mary is based on the necessity of her old age and the state vulnerability in traveling alone due to her condition. The benefits and strategies to mitigate these challenges are on her daughter's motivation to initiate and maintain health and wellness. The caregivers will thus use an electronic health record system in which all health care </w:t>
      </w:r>
      <w:r w:rsidR="00834746">
        <w:rPr>
          <w:bCs/>
        </w:rPr>
        <w:t>members can</w:t>
      </w:r>
      <w:r>
        <w:rPr>
          <w:bCs/>
        </w:rPr>
        <w:t xml:space="preserve"> access and accurately monitor Mary's findings and frequent communication with one another using technology. </w:t>
      </w:r>
    </w:p>
    <w:p w14:paraId="50DF7A7B" w14:textId="286A8E50" w:rsidR="00834746" w:rsidRDefault="00191B07" w:rsidP="00460FA8">
      <w:pPr>
        <w:ind w:firstLine="0"/>
        <w:rPr>
          <w:bCs/>
        </w:rPr>
      </w:pPr>
      <w:r>
        <w:rPr>
          <w:bCs/>
        </w:rPr>
        <w:t xml:space="preserve"> Thus, it is conclusive that EBP is the way to move beyond the barriers in remote areas (Lynn Gallagher, 2014). The EBP model helps assure the well-developed and tailored care plans by incorporating the most current and relevant decisions about care that leads to positive and quality patient outcomes. </w:t>
      </w:r>
    </w:p>
    <w:p w14:paraId="11A9B343" w14:textId="77777777" w:rsidR="00D51267" w:rsidRDefault="00D51267" w:rsidP="008A0297">
      <w:pPr>
        <w:ind w:firstLine="0"/>
        <w:jc w:val="center"/>
        <w:rPr>
          <w:b/>
          <w:bCs/>
        </w:rPr>
      </w:pPr>
    </w:p>
    <w:p w14:paraId="364EDCDE" w14:textId="77777777" w:rsidR="00D51267" w:rsidRDefault="00D51267" w:rsidP="008A0297">
      <w:pPr>
        <w:ind w:firstLine="0"/>
        <w:jc w:val="center"/>
        <w:rPr>
          <w:b/>
          <w:bCs/>
        </w:rPr>
      </w:pPr>
    </w:p>
    <w:p w14:paraId="1AE24D6F" w14:textId="73D5DF2A" w:rsidR="00834746" w:rsidRPr="008A0297" w:rsidRDefault="00191B07" w:rsidP="008A0297">
      <w:pPr>
        <w:ind w:firstLine="0"/>
        <w:jc w:val="center"/>
        <w:rPr>
          <w:b/>
          <w:bCs/>
        </w:rPr>
      </w:pPr>
      <w:r w:rsidRPr="008A0297">
        <w:rPr>
          <w:b/>
          <w:bCs/>
        </w:rPr>
        <w:t>References</w:t>
      </w:r>
    </w:p>
    <w:p w14:paraId="76C161E7" w14:textId="4EEB2898" w:rsidR="00834746" w:rsidRPr="008A0297" w:rsidRDefault="00191B07" w:rsidP="00460FA8">
      <w:pPr>
        <w:ind w:firstLine="0"/>
        <w:rPr>
          <w:bCs/>
          <w:i/>
        </w:rPr>
      </w:pPr>
      <w:r>
        <w:rPr>
          <w:bCs/>
        </w:rPr>
        <w:t>Anne, T.</w:t>
      </w:r>
      <w:r w:rsidR="008A0297">
        <w:rPr>
          <w:bCs/>
        </w:rPr>
        <w:t xml:space="preserve"> </w:t>
      </w:r>
      <w:r>
        <w:rPr>
          <w:bCs/>
        </w:rPr>
        <w:t>(2012</w:t>
      </w:r>
      <w:r w:rsidR="008A0297">
        <w:rPr>
          <w:bCs/>
        </w:rPr>
        <w:t xml:space="preserve">). </w:t>
      </w:r>
      <w:r w:rsidR="008A0297" w:rsidRPr="008A0297">
        <w:rPr>
          <w:bCs/>
          <w:i/>
        </w:rPr>
        <w:t>The Evidence-Based Care Plan-Elite Learning</w:t>
      </w:r>
    </w:p>
    <w:p w14:paraId="7B719196" w14:textId="573B895A" w:rsidR="008A0297" w:rsidRDefault="00191B07" w:rsidP="00460FA8">
      <w:pPr>
        <w:ind w:firstLine="0"/>
        <w:rPr>
          <w:bCs/>
        </w:rPr>
      </w:pPr>
      <w:r>
        <w:rPr>
          <w:bCs/>
        </w:rPr>
        <w:tab/>
      </w:r>
      <w:hyperlink r:id="rId8" w:history="1">
        <w:r w:rsidRPr="00577D5D">
          <w:rPr>
            <w:rStyle w:val="Hyperlink"/>
            <w:bCs/>
          </w:rPr>
          <w:t>https://www.elitecme.com/resource-center/nursing/the-evidence-based-care-plan/</w:t>
        </w:r>
      </w:hyperlink>
    </w:p>
    <w:p w14:paraId="5550B858" w14:textId="634A81C6" w:rsidR="008A0297" w:rsidRPr="008A0297" w:rsidRDefault="00191B07" w:rsidP="00460FA8">
      <w:pPr>
        <w:ind w:firstLine="0"/>
        <w:rPr>
          <w:bCs/>
          <w:i/>
        </w:rPr>
      </w:pPr>
      <w:r>
        <w:rPr>
          <w:bCs/>
        </w:rPr>
        <w:t xml:space="preserve">Lynn, G, F. (2014). </w:t>
      </w:r>
      <w:r w:rsidRPr="008A0297">
        <w:rPr>
          <w:bCs/>
          <w:i/>
        </w:rPr>
        <w:t>Creating a Strong context foe EBP</w:t>
      </w:r>
    </w:p>
    <w:p w14:paraId="221128A6" w14:textId="32B5B2D5" w:rsidR="008A0297" w:rsidRDefault="00191B07" w:rsidP="00460FA8">
      <w:pPr>
        <w:ind w:firstLine="0"/>
        <w:rPr>
          <w:bCs/>
        </w:rPr>
      </w:pPr>
      <w:r>
        <w:rPr>
          <w:bCs/>
        </w:rPr>
        <w:tab/>
      </w:r>
      <w:hyperlink r:id="rId9" w:history="1">
        <w:r w:rsidRPr="00577D5D">
          <w:rPr>
            <w:rStyle w:val="Hyperlink"/>
            <w:bCs/>
          </w:rPr>
          <w:t>https://sigmapubs.onlinelibrary.wiley.com/doi/pdf/10.111/wvn.12022</w:t>
        </w:r>
      </w:hyperlink>
    </w:p>
    <w:p w14:paraId="3D1BA0C3" w14:textId="77777777" w:rsidR="008A0297" w:rsidRDefault="008A0297" w:rsidP="00460FA8">
      <w:pPr>
        <w:ind w:firstLine="0"/>
        <w:rPr>
          <w:bCs/>
        </w:rPr>
      </w:pPr>
    </w:p>
    <w:p w14:paraId="3BBFAC37" w14:textId="77777777" w:rsidR="00282588" w:rsidRDefault="00282588" w:rsidP="00460FA8">
      <w:pPr>
        <w:ind w:firstLine="0"/>
      </w:pPr>
    </w:p>
    <w:p w14:paraId="3B7FCE9B" w14:textId="77777777" w:rsidR="002D1009" w:rsidRDefault="002D1009" w:rsidP="002D1009">
      <w:pPr>
        <w:ind w:firstLine="0"/>
      </w:pPr>
    </w:p>
    <w:sectPr w:rsidR="002D100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50EF66" w14:textId="77777777" w:rsidR="00191B07" w:rsidRDefault="00191B07">
      <w:pPr>
        <w:spacing w:line="240" w:lineRule="auto"/>
      </w:pPr>
      <w:r>
        <w:separator/>
      </w:r>
    </w:p>
  </w:endnote>
  <w:endnote w:type="continuationSeparator" w:id="0">
    <w:p w14:paraId="7C015ADD" w14:textId="77777777" w:rsidR="00191B07" w:rsidRDefault="00191B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AA5DE" w14:textId="77777777" w:rsidR="00191B07" w:rsidRDefault="00191B07">
      <w:pPr>
        <w:spacing w:line="240" w:lineRule="auto"/>
      </w:pPr>
      <w:r>
        <w:separator/>
      </w:r>
    </w:p>
  </w:footnote>
  <w:footnote w:type="continuationSeparator" w:id="0">
    <w:p w14:paraId="08C6EB56" w14:textId="77777777" w:rsidR="00191B07" w:rsidRDefault="00191B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6502DB5B" w:rsidR="00A22A32" w:rsidRDefault="00191B07" w:rsidP="003A05D9">
    <w:pPr>
      <w:pStyle w:val="Header"/>
      <w:ind w:firstLine="0"/>
    </w:pPr>
    <w:r>
      <w:t xml:space="preserve">Running head: EVIDENCE-BASED CARE PLAN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D51267" w:rsidRPr="00D51267">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FE2A4D1E">
      <w:start w:val="1"/>
      <w:numFmt w:val="bullet"/>
      <w:lvlText w:val=""/>
      <w:lvlJc w:val="left"/>
      <w:pPr>
        <w:ind w:left="1997" w:hanging="360"/>
      </w:pPr>
      <w:rPr>
        <w:rFonts w:ascii="Symbol" w:hAnsi="Symbol" w:hint="default"/>
      </w:rPr>
    </w:lvl>
    <w:lvl w:ilvl="1" w:tplc="E754FF24" w:tentative="1">
      <w:start w:val="1"/>
      <w:numFmt w:val="bullet"/>
      <w:lvlText w:val="o"/>
      <w:lvlJc w:val="left"/>
      <w:pPr>
        <w:ind w:left="2717" w:hanging="360"/>
      </w:pPr>
      <w:rPr>
        <w:rFonts w:ascii="Courier New" w:hAnsi="Courier New" w:cs="Courier New" w:hint="default"/>
      </w:rPr>
    </w:lvl>
    <w:lvl w:ilvl="2" w:tplc="966AF7C2" w:tentative="1">
      <w:start w:val="1"/>
      <w:numFmt w:val="bullet"/>
      <w:lvlText w:val=""/>
      <w:lvlJc w:val="left"/>
      <w:pPr>
        <w:ind w:left="3437" w:hanging="360"/>
      </w:pPr>
      <w:rPr>
        <w:rFonts w:ascii="Wingdings" w:hAnsi="Wingdings" w:hint="default"/>
      </w:rPr>
    </w:lvl>
    <w:lvl w:ilvl="3" w:tplc="531A6E70" w:tentative="1">
      <w:start w:val="1"/>
      <w:numFmt w:val="bullet"/>
      <w:lvlText w:val=""/>
      <w:lvlJc w:val="left"/>
      <w:pPr>
        <w:ind w:left="4157" w:hanging="360"/>
      </w:pPr>
      <w:rPr>
        <w:rFonts w:ascii="Symbol" w:hAnsi="Symbol" w:hint="default"/>
      </w:rPr>
    </w:lvl>
    <w:lvl w:ilvl="4" w:tplc="359865B2" w:tentative="1">
      <w:start w:val="1"/>
      <w:numFmt w:val="bullet"/>
      <w:lvlText w:val="o"/>
      <w:lvlJc w:val="left"/>
      <w:pPr>
        <w:ind w:left="4877" w:hanging="360"/>
      </w:pPr>
      <w:rPr>
        <w:rFonts w:ascii="Courier New" w:hAnsi="Courier New" w:cs="Courier New" w:hint="default"/>
      </w:rPr>
    </w:lvl>
    <w:lvl w:ilvl="5" w:tplc="F16C516E" w:tentative="1">
      <w:start w:val="1"/>
      <w:numFmt w:val="bullet"/>
      <w:lvlText w:val=""/>
      <w:lvlJc w:val="left"/>
      <w:pPr>
        <w:ind w:left="5597" w:hanging="360"/>
      </w:pPr>
      <w:rPr>
        <w:rFonts w:ascii="Wingdings" w:hAnsi="Wingdings" w:hint="default"/>
      </w:rPr>
    </w:lvl>
    <w:lvl w:ilvl="6" w:tplc="4E604DA0" w:tentative="1">
      <w:start w:val="1"/>
      <w:numFmt w:val="bullet"/>
      <w:lvlText w:val=""/>
      <w:lvlJc w:val="left"/>
      <w:pPr>
        <w:ind w:left="6317" w:hanging="360"/>
      </w:pPr>
      <w:rPr>
        <w:rFonts w:ascii="Symbol" w:hAnsi="Symbol" w:hint="default"/>
      </w:rPr>
    </w:lvl>
    <w:lvl w:ilvl="7" w:tplc="6AE448C2" w:tentative="1">
      <w:start w:val="1"/>
      <w:numFmt w:val="bullet"/>
      <w:lvlText w:val="o"/>
      <w:lvlJc w:val="left"/>
      <w:pPr>
        <w:ind w:left="7037" w:hanging="360"/>
      </w:pPr>
      <w:rPr>
        <w:rFonts w:ascii="Courier New" w:hAnsi="Courier New" w:cs="Courier New" w:hint="default"/>
      </w:rPr>
    </w:lvl>
    <w:lvl w:ilvl="8" w:tplc="C38A2E34" w:tentative="1">
      <w:start w:val="1"/>
      <w:numFmt w:val="bullet"/>
      <w:lvlText w:val=""/>
      <w:lvlJc w:val="left"/>
      <w:pPr>
        <w:ind w:left="7757" w:hanging="360"/>
      </w:pPr>
      <w:rPr>
        <w:rFonts w:ascii="Wingdings" w:hAnsi="Wingdings" w:hint="default"/>
      </w:rPr>
    </w:lvl>
  </w:abstractNum>
  <w:abstractNum w:abstractNumId="11" w15:restartNumberingAfterBreak="0">
    <w:nsid w:val="3E6A39BD"/>
    <w:multiLevelType w:val="hybridMultilevel"/>
    <w:tmpl w:val="8398E3A6"/>
    <w:lvl w:ilvl="0" w:tplc="18D04758">
      <w:start w:val="1"/>
      <w:numFmt w:val="bullet"/>
      <w:lvlText w:val=""/>
      <w:lvlJc w:val="left"/>
      <w:pPr>
        <w:ind w:left="1277" w:hanging="360"/>
      </w:pPr>
      <w:rPr>
        <w:rFonts w:ascii="Symbol" w:hAnsi="Symbol" w:hint="default"/>
      </w:rPr>
    </w:lvl>
    <w:lvl w:ilvl="1" w:tplc="5BA2A98A" w:tentative="1">
      <w:start w:val="1"/>
      <w:numFmt w:val="bullet"/>
      <w:lvlText w:val="o"/>
      <w:lvlJc w:val="left"/>
      <w:pPr>
        <w:ind w:left="1997" w:hanging="360"/>
      </w:pPr>
      <w:rPr>
        <w:rFonts w:ascii="Courier New" w:hAnsi="Courier New" w:cs="Courier New" w:hint="default"/>
      </w:rPr>
    </w:lvl>
    <w:lvl w:ilvl="2" w:tplc="BA5E3286" w:tentative="1">
      <w:start w:val="1"/>
      <w:numFmt w:val="bullet"/>
      <w:lvlText w:val=""/>
      <w:lvlJc w:val="left"/>
      <w:pPr>
        <w:ind w:left="2717" w:hanging="360"/>
      </w:pPr>
      <w:rPr>
        <w:rFonts w:ascii="Wingdings" w:hAnsi="Wingdings" w:hint="default"/>
      </w:rPr>
    </w:lvl>
    <w:lvl w:ilvl="3" w:tplc="C78AA744" w:tentative="1">
      <w:start w:val="1"/>
      <w:numFmt w:val="bullet"/>
      <w:lvlText w:val=""/>
      <w:lvlJc w:val="left"/>
      <w:pPr>
        <w:ind w:left="3437" w:hanging="360"/>
      </w:pPr>
      <w:rPr>
        <w:rFonts w:ascii="Symbol" w:hAnsi="Symbol" w:hint="default"/>
      </w:rPr>
    </w:lvl>
    <w:lvl w:ilvl="4" w:tplc="4710BB1E" w:tentative="1">
      <w:start w:val="1"/>
      <w:numFmt w:val="bullet"/>
      <w:lvlText w:val="o"/>
      <w:lvlJc w:val="left"/>
      <w:pPr>
        <w:ind w:left="4157" w:hanging="360"/>
      </w:pPr>
      <w:rPr>
        <w:rFonts w:ascii="Courier New" w:hAnsi="Courier New" w:cs="Courier New" w:hint="default"/>
      </w:rPr>
    </w:lvl>
    <w:lvl w:ilvl="5" w:tplc="1F66F6A8" w:tentative="1">
      <w:start w:val="1"/>
      <w:numFmt w:val="bullet"/>
      <w:lvlText w:val=""/>
      <w:lvlJc w:val="left"/>
      <w:pPr>
        <w:ind w:left="4877" w:hanging="360"/>
      </w:pPr>
      <w:rPr>
        <w:rFonts w:ascii="Wingdings" w:hAnsi="Wingdings" w:hint="default"/>
      </w:rPr>
    </w:lvl>
    <w:lvl w:ilvl="6" w:tplc="146E16B4" w:tentative="1">
      <w:start w:val="1"/>
      <w:numFmt w:val="bullet"/>
      <w:lvlText w:val=""/>
      <w:lvlJc w:val="left"/>
      <w:pPr>
        <w:ind w:left="5597" w:hanging="360"/>
      </w:pPr>
      <w:rPr>
        <w:rFonts w:ascii="Symbol" w:hAnsi="Symbol" w:hint="default"/>
      </w:rPr>
    </w:lvl>
    <w:lvl w:ilvl="7" w:tplc="6C26703A" w:tentative="1">
      <w:start w:val="1"/>
      <w:numFmt w:val="bullet"/>
      <w:lvlText w:val="o"/>
      <w:lvlJc w:val="left"/>
      <w:pPr>
        <w:ind w:left="6317" w:hanging="360"/>
      </w:pPr>
      <w:rPr>
        <w:rFonts w:ascii="Courier New" w:hAnsi="Courier New" w:cs="Courier New" w:hint="default"/>
      </w:rPr>
    </w:lvl>
    <w:lvl w:ilvl="8" w:tplc="E6D63B4C"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50E1C"/>
    <w:rsid w:val="00056CFC"/>
    <w:rsid w:val="00057891"/>
    <w:rsid w:val="00085EBD"/>
    <w:rsid w:val="000A037F"/>
    <w:rsid w:val="000D10B0"/>
    <w:rsid w:val="000E79FA"/>
    <w:rsid w:val="000F6500"/>
    <w:rsid w:val="0010115B"/>
    <w:rsid w:val="0010629B"/>
    <w:rsid w:val="0011611F"/>
    <w:rsid w:val="00116AF5"/>
    <w:rsid w:val="00117442"/>
    <w:rsid w:val="00123292"/>
    <w:rsid w:val="00125F59"/>
    <w:rsid w:val="0012721D"/>
    <w:rsid w:val="00134E02"/>
    <w:rsid w:val="0017074F"/>
    <w:rsid w:val="00177CFF"/>
    <w:rsid w:val="00191B07"/>
    <w:rsid w:val="001976BA"/>
    <w:rsid w:val="001A190B"/>
    <w:rsid w:val="001A6D5A"/>
    <w:rsid w:val="001B4869"/>
    <w:rsid w:val="001C2E22"/>
    <w:rsid w:val="001E084B"/>
    <w:rsid w:val="001E4814"/>
    <w:rsid w:val="00206592"/>
    <w:rsid w:val="0021115E"/>
    <w:rsid w:val="002265C1"/>
    <w:rsid w:val="002418B9"/>
    <w:rsid w:val="0024661B"/>
    <w:rsid w:val="00252A35"/>
    <w:rsid w:val="002541F8"/>
    <w:rsid w:val="002805E8"/>
    <w:rsid w:val="00282588"/>
    <w:rsid w:val="002877DA"/>
    <w:rsid w:val="0029764F"/>
    <w:rsid w:val="002B029E"/>
    <w:rsid w:val="002B43A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0FA8"/>
    <w:rsid w:val="004662F6"/>
    <w:rsid w:val="0049712D"/>
    <w:rsid w:val="004C0810"/>
    <w:rsid w:val="004D5C14"/>
    <w:rsid w:val="004E25A9"/>
    <w:rsid w:val="004E4683"/>
    <w:rsid w:val="004F5159"/>
    <w:rsid w:val="00501552"/>
    <w:rsid w:val="00532D29"/>
    <w:rsid w:val="00536AA6"/>
    <w:rsid w:val="0054015B"/>
    <w:rsid w:val="00553535"/>
    <w:rsid w:val="00554DBB"/>
    <w:rsid w:val="00562529"/>
    <w:rsid w:val="00562A96"/>
    <w:rsid w:val="005632CA"/>
    <w:rsid w:val="00566C9D"/>
    <w:rsid w:val="00567960"/>
    <w:rsid w:val="00577D5D"/>
    <w:rsid w:val="00587763"/>
    <w:rsid w:val="005B70E7"/>
    <w:rsid w:val="005E3DF1"/>
    <w:rsid w:val="005E7111"/>
    <w:rsid w:val="00604295"/>
    <w:rsid w:val="0060509C"/>
    <w:rsid w:val="00632572"/>
    <w:rsid w:val="00635703"/>
    <w:rsid w:val="00636F96"/>
    <w:rsid w:val="00664398"/>
    <w:rsid w:val="00694586"/>
    <w:rsid w:val="006966DA"/>
    <w:rsid w:val="006A1854"/>
    <w:rsid w:val="006D6DE4"/>
    <w:rsid w:val="0070693A"/>
    <w:rsid w:val="0071086A"/>
    <w:rsid w:val="0071652C"/>
    <w:rsid w:val="00766E5C"/>
    <w:rsid w:val="0078051A"/>
    <w:rsid w:val="007943AB"/>
    <w:rsid w:val="007A6A04"/>
    <w:rsid w:val="007C2224"/>
    <w:rsid w:val="007C6897"/>
    <w:rsid w:val="007D1781"/>
    <w:rsid w:val="007D24D7"/>
    <w:rsid w:val="007E2989"/>
    <w:rsid w:val="007F7014"/>
    <w:rsid w:val="008233B4"/>
    <w:rsid w:val="00827847"/>
    <w:rsid w:val="00834746"/>
    <w:rsid w:val="00835321"/>
    <w:rsid w:val="008801F2"/>
    <w:rsid w:val="00891C44"/>
    <w:rsid w:val="0089257B"/>
    <w:rsid w:val="0089383C"/>
    <w:rsid w:val="008A0297"/>
    <w:rsid w:val="008A629F"/>
    <w:rsid w:val="008A6946"/>
    <w:rsid w:val="008A6EDA"/>
    <w:rsid w:val="008D6A54"/>
    <w:rsid w:val="008E383D"/>
    <w:rsid w:val="008F331C"/>
    <w:rsid w:val="0091490F"/>
    <w:rsid w:val="00924FD3"/>
    <w:rsid w:val="009330EB"/>
    <w:rsid w:val="00933C9A"/>
    <w:rsid w:val="00937EFC"/>
    <w:rsid w:val="009409DA"/>
    <w:rsid w:val="009439B4"/>
    <w:rsid w:val="00944851"/>
    <w:rsid w:val="009534BB"/>
    <w:rsid w:val="00965ADD"/>
    <w:rsid w:val="00965D53"/>
    <w:rsid w:val="00986C89"/>
    <w:rsid w:val="009A18F9"/>
    <w:rsid w:val="009A1EA0"/>
    <w:rsid w:val="009A7317"/>
    <w:rsid w:val="009B326C"/>
    <w:rsid w:val="009B3E53"/>
    <w:rsid w:val="009E5808"/>
    <w:rsid w:val="009F19A1"/>
    <w:rsid w:val="009F2B78"/>
    <w:rsid w:val="00A16CAE"/>
    <w:rsid w:val="00A22365"/>
    <w:rsid w:val="00A22A32"/>
    <w:rsid w:val="00A413E4"/>
    <w:rsid w:val="00A43144"/>
    <w:rsid w:val="00A448BB"/>
    <w:rsid w:val="00A56CB8"/>
    <w:rsid w:val="00A74BD4"/>
    <w:rsid w:val="00A96501"/>
    <w:rsid w:val="00A96F79"/>
    <w:rsid w:val="00AA5B8F"/>
    <w:rsid w:val="00AC7639"/>
    <w:rsid w:val="00AD7B19"/>
    <w:rsid w:val="00B047AD"/>
    <w:rsid w:val="00B13425"/>
    <w:rsid w:val="00B231DB"/>
    <w:rsid w:val="00B248A5"/>
    <w:rsid w:val="00B37B5B"/>
    <w:rsid w:val="00B4687F"/>
    <w:rsid w:val="00B532E4"/>
    <w:rsid w:val="00B54EB6"/>
    <w:rsid w:val="00B70089"/>
    <w:rsid w:val="00BA31DF"/>
    <w:rsid w:val="00BD239C"/>
    <w:rsid w:val="00BF2B81"/>
    <w:rsid w:val="00C03F1C"/>
    <w:rsid w:val="00C07B25"/>
    <w:rsid w:val="00C109A7"/>
    <w:rsid w:val="00C13042"/>
    <w:rsid w:val="00C16A9C"/>
    <w:rsid w:val="00C21A84"/>
    <w:rsid w:val="00C41FD2"/>
    <w:rsid w:val="00C627A2"/>
    <w:rsid w:val="00C76900"/>
    <w:rsid w:val="00CA3227"/>
    <w:rsid w:val="00CB1B97"/>
    <w:rsid w:val="00CC135C"/>
    <w:rsid w:val="00CC1DEC"/>
    <w:rsid w:val="00CD6B59"/>
    <w:rsid w:val="00CF4540"/>
    <w:rsid w:val="00CF5951"/>
    <w:rsid w:val="00D05986"/>
    <w:rsid w:val="00D15B31"/>
    <w:rsid w:val="00D33560"/>
    <w:rsid w:val="00D4368A"/>
    <w:rsid w:val="00D47EE3"/>
    <w:rsid w:val="00D51267"/>
    <w:rsid w:val="00D67A82"/>
    <w:rsid w:val="00D83FCE"/>
    <w:rsid w:val="00DB393C"/>
    <w:rsid w:val="00DB4C8D"/>
    <w:rsid w:val="00DC7609"/>
    <w:rsid w:val="00DE0A99"/>
    <w:rsid w:val="00DE7E2B"/>
    <w:rsid w:val="00E25267"/>
    <w:rsid w:val="00E4775A"/>
    <w:rsid w:val="00E660C0"/>
    <w:rsid w:val="00E67F84"/>
    <w:rsid w:val="00E75F0D"/>
    <w:rsid w:val="00E9021F"/>
    <w:rsid w:val="00E96872"/>
    <w:rsid w:val="00EB7317"/>
    <w:rsid w:val="00EE39BE"/>
    <w:rsid w:val="00EE531A"/>
    <w:rsid w:val="00F303AF"/>
    <w:rsid w:val="00F33390"/>
    <w:rsid w:val="00F51FED"/>
    <w:rsid w:val="00F72BAA"/>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tecme.com/resource-center/nursing/the-evidence-based-care-plan/"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sigmapubs.onlinelibrary.wiley.com/doi/pdf/10.111/wvn.120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2F175-BFB1-4FDC-8E76-6418FC129B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648</Words>
  <Characters>3699</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2020-08-28T20:55:00Z</dcterms:created>
  <dcterms:modified xsi:type="dcterms:W3CDTF">2020-08-28T20:55:00Z</dcterms:modified>
</cp:coreProperties>
</file>